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A3" w:rsidRPr="006725A3" w:rsidRDefault="006725A3" w:rsidP="006725A3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6725A3" w:rsidRPr="006725A3" w:rsidRDefault="006725A3" w:rsidP="006725A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725A3" w:rsidRPr="006725A3" w:rsidRDefault="006725A3" w:rsidP="006725A3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725A3" w:rsidRPr="006725A3" w:rsidRDefault="006725A3" w:rsidP="006725A3">
      <w:pPr>
        <w:rPr>
          <w:rFonts w:ascii="Times New Roman" w:hAnsi="Times New Roman" w:cs="Times New Roman"/>
          <w:sz w:val="28"/>
          <w:szCs w:val="28"/>
        </w:rPr>
        <w:sectPr w:rsidR="006725A3" w:rsidRPr="006725A3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6725A3" w:rsidRPr="006725A3" w:rsidRDefault="006725A3" w:rsidP="006725A3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72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6725A3" w:rsidRPr="006725A3" w:rsidRDefault="006725A3" w:rsidP="006725A3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725A3">
        <w:rPr>
          <w:rFonts w:ascii="Times New Roman" w:hAnsi="Times New Roman" w:cs="Times New Roman"/>
          <w:sz w:val="28"/>
          <w:szCs w:val="28"/>
        </w:rPr>
        <w:br w:type="column"/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2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6725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67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725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725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725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725A3" w:rsidRPr="006725A3" w:rsidRDefault="006725A3" w:rsidP="006725A3">
      <w:pPr>
        <w:sectPr w:rsidR="006725A3" w:rsidRPr="006725A3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6725A3" w:rsidRPr="006725A3" w:rsidRDefault="006725A3" w:rsidP="006725A3">
      <w:pPr>
        <w:spacing w:after="16" w:line="140" w:lineRule="exact"/>
        <w:rPr>
          <w:sz w:val="14"/>
          <w:szCs w:val="14"/>
        </w:rPr>
      </w:pPr>
    </w:p>
    <w:p w:rsidR="006725A3" w:rsidRPr="006725A3" w:rsidRDefault="006725A3" w:rsidP="006725A3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6725A3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0F93" w:rsidRDefault="00210F93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6725A3" w:rsidRPr="006725A3" w:rsidRDefault="006558D5" w:rsidP="006725A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1" behindDoc="1" locked="0" layoutInCell="0" allowOverlap="1" wp14:anchorId="0C4DA3CD" wp14:editId="1991B53C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210F93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Default="006725A3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Default="00210F93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10F93" w:rsidRDefault="006558D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Мелокс</w:t>
                                  </w:r>
                                  <w:proofErr w:type="spellEnd"/>
                                </w:p>
                              </w:tc>
                            </w:tr>
                            <w:tr w:rsidR="00210F93" w:rsidRPr="006725A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Default="006725A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Pr="006558D5" w:rsidRDefault="006558D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тд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  <w:lang w:val="en-US"/>
                                    </w:rPr>
                                    <w:t>(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  <w:lang w:val="en-US"/>
                                    </w:rPr>
                                    <w:t>m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pou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l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I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n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j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ec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t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b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l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F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ac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ility</w:t>
                                  </w:r>
                                  <w:r w:rsidRPr="006558D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10F9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Pr="006725A3" w:rsidRDefault="006725A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10F93" w:rsidRDefault="006558D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</w:tr>
                          </w:tbl>
                          <w:p w:rsidR="0021655A" w:rsidRDefault="0021655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210F93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Default="006725A3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Default="00210F93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10F93" w:rsidRDefault="006558D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Мелокс</w:t>
                            </w:r>
                            <w:proofErr w:type="spellEnd"/>
                          </w:p>
                        </w:tc>
                      </w:tr>
                      <w:tr w:rsidR="00210F93" w:rsidRPr="006725A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Default="006725A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Pr="006558D5" w:rsidRDefault="006558D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тд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  <w:lang w:val="en-US"/>
                              </w:rPr>
                              <w:t>(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pou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l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j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ec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b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l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ac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ility</w:t>
                            </w:r>
                            <w:r w:rsidRPr="006558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210F9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Pr="006725A3" w:rsidRDefault="006725A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10F93" w:rsidRDefault="006558D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</w:tr>
                    </w:tbl>
                    <w:p w:rsidR="0021655A" w:rsidRDefault="0021655A"/>
                  </w:txbxContent>
                </v:textbox>
                <w10:wrap anchorx="page"/>
              </v:shape>
            </w:pict>
          </mc:Fallback>
        </mc:AlternateContent>
      </w:r>
      <w:r w:rsidR="006725A3" w:rsidRPr="006725A3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6725A3" w:rsidRPr="006725A3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6725A3" w:rsidRPr="006725A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6725A3" w:rsidRPr="006725A3" w:rsidRDefault="006725A3" w:rsidP="006725A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25A3" w:rsidRPr="006725A3" w:rsidRDefault="006725A3" w:rsidP="006725A3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6725A3" w:rsidRPr="006725A3" w:rsidRDefault="006725A3" w:rsidP="006725A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 w:rsidRPr="006725A3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 w:rsidRPr="006725A3"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 w:rsidRPr="006725A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725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210F93" w:rsidRPr="006725A3" w:rsidRDefault="00210F93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210F93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558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210F93" w:rsidRDefault="00210F93">
      <w:pPr>
        <w:spacing w:after="3" w:line="220" w:lineRule="exact"/>
      </w:pPr>
    </w:p>
    <w:p w:rsidR="00210F93" w:rsidRDefault="006558D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725A3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210F93" w:rsidRDefault="00210F93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10F93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558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210F93" w:rsidTr="006725A3">
        <w:trPr>
          <w:cantSplit/>
          <w:trHeight w:hRule="exact" w:val="47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after="61" w:line="240" w:lineRule="exact"/>
              <w:rPr>
                <w:sz w:val="24"/>
                <w:szCs w:val="24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5" w:line="200" w:lineRule="exact"/>
              <w:rPr>
                <w:sz w:val="20"/>
                <w:szCs w:val="20"/>
              </w:rPr>
            </w:pPr>
          </w:p>
          <w:p w:rsidR="00210F93" w:rsidRDefault="006725A3">
            <w:pPr>
              <w:widowControl w:val="0"/>
              <w:spacing w:line="240" w:lineRule="auto"/>
              <w:ind w:left="60" w:right="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мелоксикам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</w:t>
            </w:r>
            <w:proofErr w:type="gram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кіретін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ҚР МФ,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АҚШФ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монографияларының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талаптарына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6725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.</w:t>
            </w:r>
          </w:p>
        </w:tc>
      </w:tr>
    </w:tbl>
    <w:p w:rsidR="00210F93" w:rsidRDefault="00210F93">
      <w:pPr>
        <w:sectPr w:rsidR="00210F93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10F93">
        <w:trPr>
          <w:cantSplit/>
          <w:trHeight w:hRule="exact" w:val="45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after="19" w:line="200" w:lineRule="exact"/>
              <w:rPr>
                <w:sz w:val="20"/>
                <w:szCs w:val="20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5C13EA">
            <w:pPr>
              <w:widowControl w:val="0"/>
              <w:tabs>
                <w:tab w:val="left" w:pos="1408"/>
                <w:tab w:val="left" w:pos="2034"/>
                <w:tab w:val="left" w:pos="2897"/>
                <w:tab w:val="left" w:pos="3457"/>
                <w:tab w:val="left" w:pos="4011"/>
                <w:tab w:val="left" w:pos="5058"/>
                <w:tab w:val="left" w:pos="5576"/>
              </w:tabs>
              <w:spacing w:before="3" w:line="240" w:lineRule="auto"/>
              <w:ind w:left="60" w:right="1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меглумин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глюкофурол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полоксамер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натрий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хлориді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глицин; натрий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гидроксиді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инъекцияға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су; азот.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ртификатымен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(ҚР МФ,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bookmarkStart w:id="0" w:name="_GoBack"/>
            <w:bookmarkEnd w:id="0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Ф).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5C13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10F93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558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210F93" w:rsidRPr="005C13EA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00" w:lineRule="exact"/>
              <w:rPr>
                <w:sz w:val="20"/>
                <w:szCs w:val="20"/>
              </w:rPr>
            </w:pPr>
          </w:p>
          <w:p w:rsidR="005C13EA" w:rsidRDefault="005C13EA" w:rsidP="005C13EA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20" w:firstLine="12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:rsidR="00210F93" w:rsidRPr="005C13EA" w:rsidRDefault="005C13EA" w:rsidP="005C13EA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Валидациялық сынақтардың нәтижелері өндірістік процесс тұрақты және өнімді дайын өнімге фирманың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ерекшелігінің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барлық параметрлері бойынша сәйкес келетін сериядан серияға дейін алуға мүмкіндік беретінін көрсетеді.</w:t>
            </w:r>
          </w:p>
        </w:tc>
      </w:tr>
      <w:tr w:rsidR="00210F93">
        <w:trPr>
          <w:cantSplit/>
          <w:trHeight w:hRule="exact" w:val="342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Pr="005C13EA" w:rsidRDefault="00210F93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5" w:line="200" w:lineRule="exact"/>
              <w:rPr>
                <w:sz w:val="20"/>
                <w:szCs w:val="20"/>
              </w:rPr>
            </w:pPr>
          </w:p>
          <w:p w:rsidR="00B159C6" w:rsidRPr="007657F5" w:rsidRDefault="00B159C6" w:rsidP="00B159C6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ЕФ 9.5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Q3А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gram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B159C6" w:rsidRPr="007657F5" w:rsidRDefault="00B159C6" w:rsidP="00B159C6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159C6" w:rsidRPr="007657F5" w:rsidRDefault="00B159C6" w:rsidP="00B159C6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B159C6" w:rsidRPr="007657F5" w:rsidRDefault="00B159C6" w:rsidP="00B159C6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10F93" w:rsidRDefault="00B159C6" w:rsidP="00B159C6">
            <w:pPr>
              <w:widowControl w:val="0"/>
              <w:spacing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210F93" w:rsidTr="00B159C6">
        <w:trPr>
          <w:cantSplit/>
          <w:trHeight w:hRule="exact" w:val="624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proofErr w:type="gram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қаптама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Ұзақ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мерзімді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proofErr w:type="gramEnd"/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</w:t>
            </w:r>
            <w:proofErr w:type="gram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зақ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</w:t>
            </w:r>
            <w:proofErr w:type="gram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імді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1.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2.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Қоспалардың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шегінде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керек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3.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етуші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сандық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құрамының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елеулі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B159C6" w:rsidRPr="008317E7" w:rsidRDefault="00B159C6" w:rsidP="00B159C6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10F93" w:rsidRDefault="00B159C6" w:rsidP="00B159C6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мерзімін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жыл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210F93" w:rsidRDefault="00210F93">
      <w:pPr>
        <w:sectPr w:rsidR="00210F93">
          <w:pgSz w:w="11905" w:h="16837"/>
          <w:pgMar w:top="560" w:right="850" w:bottom="71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210F93" w:rsidTr="00B159C6">
        <w:trPr>
          <w:cantSplit/>
          <w:trHeight w:hRule="exact" w:val="31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after="92" w:line="240" w:lineRule="exact"/>
              <w:rPr>
                <w:sz w:val="24"/>
                <w:szCs w:val="24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6725A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00" w:lineRule="exact"/>
              <w:rPr>
                <w:sz w:val="20"/>
                <w:szCs w:val="20"/>
              </w:rPr>
            </w:pPr>
          </w:p>
          <w:p w:rsidR="00B159C6" w:rsidRDefault="00B159C6" w:rsidP="00B159C6">
            <w:pPr>
              <w:widowControl w:val="0"/>
              <w:spacing w:line="240" w:lineRule="auto"/>
              <w:ind w:left="60" w:right="19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ҚР ДСМ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жылғы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бұйрығының  4-қосымшасының  1-тармағына сәйкес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Өндірісінің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, ICH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өңір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елдерінің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Халықаралық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фармацевтикалық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инспекциялардың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ынтымақтастық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жүйесі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(PIC/S)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тиісті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өндірістік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практикасына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сәйкестігін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құжаты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берушіденорганизм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ішіндегі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(ин-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виво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баламалылығының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зерттеулерінің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есебін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төмендегі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жағдайларда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етілмейд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159C6" w:rsidRDefault="00B159C6" w:rsidP="00B159C6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F93" w:rsidRDefault="00B159C6" w:rsidP="00B159C6">
            <w:pPr>
              <w:widowControl w:val="0"/>
              <w:spacing w:line="240" w:lineRule="auto"/>
              <w:ind w:left="60" w:right="6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Клиникалық деректердің  шолуы пайдаланылған  әдебиеттің  көшірмелерімен ұсынылған.</w:t>
            </w:r>
          </w:p>
        </w:tc>
      </w:tr>
      <w:tr w:rsidR="00210F93" w:rsidTr="00B159C6">
        <w:trPr>
          <w:cantSplit/>
          <w:trHeight w:hRule="exact" w:val="43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line="240" w:lineRule="exact"/>
              <w:rPr>
                <w:sz w:val="24"/>
                <w:szCs w:val="24"/>
              </w:rPr>
            </w:pPr>
          </w:p>
          <w:p w:rsidR="00210F93" w:rsidRDefault="00210F93">
            <w:pPr>
              <w:spacing w:after="92" w:line="240" w:lineRule="exact"/>
              <w:rPr>
                <w:sz w:val="24"/>
                <w:szCs w:val="24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5A3" w:rsidRPr="006725A3" w:rsidRDefault="006725A3" w:rsidP="006725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672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210F93" w:rsidRDefault="00210F9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00" w:lineRule="exact"/>
              <w:rPr>
                <w:sz w:val="20"/>
                <w:szCs w:val="20"/>
              </w:rPr>
            </w:pPr>
          </w:p>
          <w:p w:rsidR="00210F93" w:rsidRDefault="00B159C6">
            <w:pPr>
              <w:widowControl w:val="0"/>
              <w:spacing w:line="240" w:lineRule="auto"/>
              <w:ind w:left="60" w:right="19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ҚР ДСМ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жылғы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бұйрығының  4-қосымшасының  1-тармағына сәйкес </w:t>
            </w:r>
            <w:r w:rsidR="006558D5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Өндірісінің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, ICH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өңір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елдерінің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Халықаралық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фармацевтикалық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инспекциялардың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ынтымақтастық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жүйесі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(PIC/S)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тиісті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өндірістік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практикасына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сәйкестігін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растайтын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құжаты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берушіденорганизм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ішіндегі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(ин-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виво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баламалылығының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зерттеулерінің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есебін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төмен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жағдайларда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</w:rPr>
              <w:t>етілмейд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4F5F6"/>
                <w:lang w:val="kk-KZ"/>
              </w:rPr>
              <w:t>і</w:t>
            </w:r>
            <w:r w:rsidR="006558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10F93" w:rsidRDefault="00210F9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F93" w:rsidRDefault="00B159C6" w:rsidP="00B159C6">
            <w:pPr>
              <w:widowControl w:val="0"/>
              <w:spacing w:line="240" w:lineRule="auto"/>
              <w:ind w:left="60" w:right="8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Клиникалық деректердің  шолуы пайдаланылған  әдебиеттің  көшірмелерімен ұсынылған. </w:t>
            </w:r>
          </w:p>
        </w:tc>
      </w:tr>
    </w:tbl>
    <w:p w:rsidR="00210F93" w:rsidRDefault="00210F93">
      <w:pPr>
        <w:sectPr w:rsidR="00210F93">
          <w:pgSz w:w="11905" w:h="16837"/>
          <w:pgMar w:top="560" w:right="850" w:bottom="1134" w:left="1133" w:header="0" w:footer="0" w:gutter="0"/>
          <w:cols w:space="708"/>
        </w:sectPr>
      </w:pPr>
    </w:p>
    <w:p w:rsidR="00210F93" w:rsidRDefault="006558D5" w:rsidP="0014646E">
      <w:pPr>
        <w:widowControl w:val="0"/>
        <w:spacing w:line="240" w:lineRule="auto"/>
        <w:ind w:left="3628" w:right="120" w:hanging="29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58" behindDoc="1" locked="0" layoutInCell="0" allowOverlap="1" wp14:anchorId="35930198" wp14:editId="63B104A6">
                <wp:simplePos x="0" y="0"/>
                <wp:positionH relativeFrom="page">
                  <wp:posOffset>719962</wp:posOffset>
                </wp:positionH>
                <wp:positionV relativeFrom="paragraph">
                  <wp:posOffset>2540</wp:posOffset>
                </wp:positionV>
                <wp:extent cx="6264020" cy="921956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9219564"/>
                          <a:chOff x="0" y="0"/>
                          <a:chExt cx="6264020" cy="921956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32054" cy="900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9003538">
                                <a:moveTo>
                                  <a:pt x="0" y="9003538"/>
                                </a:moveTo>
                                <a:lnTo>
                                  <a:pt x="432054" y="9003538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3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1871979" cy="900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9003538">
                                <a:moveTo>
                                  <a:pt x="0" y="9003538"/>
                                </a:moveTo>
                                <a:lnTo>
                                  <a:pt x="1871979" y="9003538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3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304033" y="0"/>
                            <a:ext cx="3959986" cy="900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9003538">
                                <a:moveTo>
                                  <a:pt x="0" y="9003538"/>
                                </a:moveTo>
                                <a:lnTo>
                                  <a:pt x="3959986" y="9003538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3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003538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054" y="9003538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003538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2054" y="9003538"/>
                            <a:ext cx="5831966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966" h="216027">
                                <a:moveTo>
                                  <a:pt x="0" y="216027"/>
                                </a:moveTo>
                                <a:lnTo>
                                  <a:pt x="5831966" y="216027"/>
                                </a:lnTo>
                                <a:lnTo>
                                  <a:pt x="5831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6725A3"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Пайда-қауіпті бағалау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Препаратты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дәрігердің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тағайындауына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сәйкес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қолданған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және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нұсқаулықты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сақтаған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жағдайда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"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пайда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/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қауіп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"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арақатынасы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қолайлы</w:t>
      </w:r>
      <w:proofErr w:type="spellEnd"/>
      <w:r w:rsidR="0014646E" w:rsidRPr="0014646E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.</w:t>
      </w:r>
    </w:p>
    <w:p w:rsidR="00210F93" w:rsidRPr="0014646E" w:rsidRDefault="0014646E">
      <w:pPr>
        <w:widowControl w:val="0"/>
        <w:spacing w:line="240" w:lineRule="auto"/>
        <w:ind w:left="3628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Қолдануға көрсетілімдер </w:t>
      </w:r>
    </w:p>
    <w:p w:rsidR="00210F93" w:rsidRDefault="00210F9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646E" w:rsidRDefault="0014646E">
      <w:pPr>
        <w:widowControl w:val="0"/>
        <w:spacing w:line="240" w:lineRule="auto"/>
        <w:ind w:left="3628" w:right="268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  <w:r w:rsidRPr="0014646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Жедел ұстамалардың, ревматоидты артриттің және Бехтеров ауруының қысқа мерзімді әсерінің симптоматикалық емі, онда ішке және ректальді қабылдау тәсілдерін болдырмауға бола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ды. Мелокс препараты ересектерге</w:t>
      </w:r>
      <w:r w:rsidRPr="0014646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қолданылады.</w:t>
      </w:r>
    </w:p>
    <w:p w:rsidR="00210F93" w:rsidRDefault="00210F9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0F93" w:rsidRDefault="0014646E">
      <w:pPr>
        <w:widowControl w:val="0"/>
        <w:spacing w:line="240" w:lineRule="auto"/>
        <w:ind w:left="3628" w:right="4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Пайда/қауіпті бағалауды ескере отырып,  мынадай жағдайларда  ұсынылмайды</w:t>
      </w:r>
      <w:r w:rsidR="006558D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210F93" w:rsidRDefault="00210F9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0F93" w:rsidRPr="0014646E" w:rsidRDefault="0014646E">
      <w:pPr>
        <w:widowControl w:val="0"/>
        <w:spacing w:line="240" w:lineRule="auto"/>
        <w:ind w:left="36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  <w:lang w:val="kk-KZ"/>
        </w:rPr>
        <w:t>Қарсы көрсетілімдер</w:t>
      </w:r>
    </w:p>
    <w:p w:rsidR="00210F93" w:rsidRDefault="00210F9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0F93" w:rsidRDefault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Аталған медициналық препарат мынадай жағдайларда  қарсы көсетілімдері бар: </w:t>
      </w:r>
    </w:p>
    <w:p w:rsidR="0014646E" w:rsidRDefault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әсер етуші затқа немесе қосалқы заттарға жоғары сезімталдық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әсері ұқсас әрекет етуші молекулаларға жоғары сезімталдық, мысалы, ҚҚСП (қабынуға қарсы стерои емес препараты ацетилсалицил қышқылы.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анамнезінде астма симптомдарының, мұрын қуысы полипт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ерінің, Квинке немесе есекжем </w:t>
      </w: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ацетилсалицил қышқылын немесе басқа ҚҚСП қолдану ісінуінің болуы;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ҚҚСП-мен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емдеуге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байланысты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анам-дағы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асқаза</w:t>
      </w:r>
      <w:proofErr w:type="gram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н-</w:t>
      </w:r>
      <w:proofErr w:type="gram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ішектен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кету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гастроинтестинальды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перфорация;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асқазанның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ұлтабардың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ойық</w:t>
      </w: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жара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ауруының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асқынуы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қайталануы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кету (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жараның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кетудің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екі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ай</w:t>
      </w:r>
      <w:proofErr w:type="gram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қын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ұстамасы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);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гастроинтест</w:t>
      </w:r>
      <w:r w:rsidR="001B2346">
        <w:rPr>
          <w:rFonts w:ascii="Times New Roman" w:eastAsia="Times New Roman" w:hAnsi="Times New Roman" w:cs="Times New Roman"/>
          <w:color w:val="000000"/>
          <w:sz w:val="23"/>
          <w:szCs w:val="23"/>
        </w:rPr>
        <w:t>инальды</w:t>
      </w:r>
      <w:proofErr w:type="spellEnd"/>
      <w:r w:rsidR="001B234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B2346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="001B234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кету, </w:t>
      </w:r>
      <w:r w:rsidR="001B2346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ауру тарихында</w:t>
      </w:r>
      <w:r w:rsidR="001B234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</w:t>
      </w:r>
      <w:r w:rsidR="001B2346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и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ішілік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құйылу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ұюының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басқа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бұзылуы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ауыр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бауыр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функциясының </w:t>
      </w: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жеткіліксіздігі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диализсіз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ауыр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бүйрек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функциясының </w:t>
      </w: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жеткіліксіздігі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ауыр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жүрек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жеткіліксіздігі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антикоагуляциялық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терапия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кезінде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коагуляцияның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бұзылуы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бұлшықет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ішіне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енгізуге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байланысты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қарсы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көрсетілімдер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14646E" w:rsidRP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проктит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ректальді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кету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анамнезінде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жүктілі</w:t>
      </w:r>
      <w:proofErr w:type="gram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proofErr w:type="gram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лактация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кезеңі</w:t>
      </w:r>
      <w:proofErr w:type="spellEnd"/>
    </w:p>
    <w:p w:rsidR="0014646E" w:rsidRDefault="0014646E" w:rsidP="0014646E">
      <w:pPr>
        <w:widowControl w:val="0"/>
        <w:tabs>
          <w:tab w:val="left" w:pos="4762"/>
          <w:tab w:val="left" w:pos="6456"/>
          <w:tab w:val="left" w:pos="7707"/>
          <w:tab w:val="left" w:pos="9657"/>
        </w:tabs>
        <w:spacing w:line="240" w:lineRule="auto"/>
        <w:ind w:left="3628" w:right="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18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жасқа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дейінгі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балалар</w:t>
      </w:r>
      <w:proofErr w:type="spell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мен </w:t>
      </w:r>
      <w:proofErr w:type="spell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жасөспі</w:t>
      </w:r>
      <w:proofErr w:type="gramStart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proofErr w:type="gramEnd"/>
      <w:r w:rsidRPr="0014646E">
        <w:rPr>
          <w:rFonts w:ascii="Times New Roman" w:eastAsia="Times New Roman" w:hAnsi="Times New Roman" w:cs="Times New Roman"/>
          <w:color w:val="000000"/>
          <w:sz w:val="23"/>
          <w:szCs w:val="23"/>
        </w:rPr>
        <w:t>імдер</w:t>
      </w:r>
      <w:proofErr w:type="spellEnd"/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10F93" w:rsidRDefault="00210F93">
      <w:pPr>
        <w:sectPr w:rsidR="00210F93">
          <w:pgSz w:w="11905" w:h="16837"/>
          <w:pgMar w:top="563" w:right="821" w:bottom="1134" w:left="1194" w:header="0" w:footer="0" w:gutter="0"/>
          <w:cols w:space="708"/>
        </w:sectPr>
      </w:pPr>
    </w:p>
    <w:p w:rsidR="00210F93" w:rsidRDefault="00210F93">
      <w:pPr>
        <w:spacing w:line="240" w:lineRule="exact"/>
        <w:rPr>
          <w:sz w:val="24"/>
          <w:szCs w:val="24"/>
        </w:rPr>
      </w:pPr>
    </w:p>
    <w:p w:rsidR="00210F93" w:rsidRDefault="00210F93">
      <w:pPr>
        <w:spacing w:line="240" w:lineRule="exact"/>
        <w:rPr>
          <w:sz w:val="24"/>
          <w:szCs w:val="24"/>
        </w:rPr>
      </w:pPr>
    </w:p>
    <w:p w:rsidR="00210F93" w:rsidRDefault="00210F93">
      <w:pPr>
        <w:spacing w:line="240" w:lineRule="exact"/>
        <w:rPr>
          <w:sz w:val="24"/>
          <w:szCs w:val="24"/>
        </w:rPr>
      </w:pPr>
    </w:p>
    <w:p w:rsidR="00210F93" w:rsidRDefault="00210F93">
      <w:pPr>
        <w:spacing w:line="240" w:lineRule="exact"/>
        <w:rPr>
          <w:sz w:val="24"/>
          <w:szCs w:val="24"/>
        </w:rPr>
      </w:pPr>
    </w:p>
    <w:p w:rsidR="00210F93" w:rsidRDefault="00210F93">
      <w:pPr>
        <w:spacing w:line="240" w:lineRule="exact"/>
        <w:rPr>
          <w:sz w:val="24"/>
          <w:szCs w:val="24"/>
        </w:rPr>
      </w:pPr>
    </w:p>
    <w:p w:rsidR="00210F93" w:rsidRDefault="00210F93">
      <w:pPr>
        <w:spacing w:after="59" w:line="240" w:lineRule="exact"/>
        <w:rPr>
          <w:sz w:val="24"/>
          <w:szCs w:val="24"/>
        </w:rPr>
      </w:pPr>
    </w:p>
    <w:p w:rsidR="00210F93" w:rsidRDefault="006558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</w:t>
      </w: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Default="00210F9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F93" w:rsidRPr="0014646E" w:rsidRDefault="006558D5" w:rsidP="0014646E">
      <w:pPr>
        <w:widowControl w:val="0"/>
        <w:tabs>
          <w:tab w:val="left" w:pos="6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sectPr w:rsidR="00210F93" w:rsidRPr="0014646E">
          <w:type w:val="continuous"/>
          <w:pgSz w:w="11905" w:h="16837"/>
          <w:pgMar w:top="563" w:right="821" w:bottom="1134" w:left="1194" w:header="0" w:footer="0" w:gutter="0"/>
          <w:cols w:num="2" w:space="708" w:equalWidth="0">
            <w:col w:w="2222" w:space="1981"/>
            <w:col w:w="568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646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Фармакологиялық қадағалау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210F93">
        <w:trPr>
          <w:cantSplit/>
          <w:trHeight w:hRule="exact" w:val="178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14646E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00" w:lineRule="exact"/>
              <w:rPr>
                <w:sz w:val="20"/>
                <w:szCs w:val="20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3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"</w:t>
            </w:r>
            <w:r w:rsidR="0014646E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А</w:t>
            </w:r>
            <w:proofErr w:type="gramEnd"/>
            <w:r w:rsidR="0014646E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ҚБ фармакологиялық қадағалау жүйесінің мастер-файлы ұсынылған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10F93" w:rsidRDefault="00210F9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F93" w:rsidRDefault="00FD271D" w:rsidP="00FD271D">
            <w:pPr>
              <w:widowControl w:val="0"/>
              <w:spacing w:line="240" w:lineRule="auto"/>
              <w:ind w:left="60" w:right="3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ТБЖ талап етілмейді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, өйткені 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әрілік препарат қайта  өндірілген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. </w:t>
            </w:r>
          </w:p>
        </w:tc>
      </w:tr>
      <w:tr w:rsidR="00210F93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14646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/>
        </w:tc>
      </w:tr>
      <w:tr w:rsidR="00210F93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40" w:lineRule="exact"/>
              <w:rPr>
                <w:sz w:val="24"/>
                <w:szCs w:val="24"/>
              </w:rPr>
            </w:pPr>
          </w:p>
          <w:p w:rsidR="00210F93" w:rsidRDefault="006558D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14646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93" w:rsidRDefault="00210F93">
            <w:pPr>
              <w:spacing w:after="14" w:line="200" w:lineRule="exact"/>
              <w:rPr>
                <w:sz w:val="20"/>
                <w:szCs w:val="20"/>
              </w:rPr>
            </w:pPr>
          </w:p>
          <w:p w:rsidR="00210F93" w:rsidRDefault="0014646E" w:rsidP="0014646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 – дәрігердің рецептісі бойынша</w:t>
            </w:r>
            <w:r w:rsidR="006558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210F93" w:rsidRDefault="006558D5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10F93" w:rsidRPr="006558D5" w:rsidRDefault="006558D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558D5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210F93" w:rsidRPr="006558D5" w:rsidRDefault="006558D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558D5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210F93" w:rsidRPr="006725A3" w:rsidRDefault="005C13E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6558D5" w:rsidRPr="006725A3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" o:allowincell="f" stroked="f">
                <v:textbox>
                  <w:txbxContent>
                    <w:p w:rsidR="00210F93" w:rsidRPr="006558D5" w:rsidRDefault="006558D5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558D5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210F93" w:rsidRPr="006558D5" w:rsidRDefault="006558D5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558D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210F93" w:rsidRPr="006725A3" w:rsidRDefault="005C13EA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6558D5" w:rsidRPr="006725A3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0F93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3"/>
    <w:rsid w:val="0014646E"/>
    <w:rsid w:val="001B2346"/>
    <w:rsid w:val="00210F93"/>
    <w:rsid w:val="0021655A"/>
    <w:rsid w:val="005C13EA"/>
    <w:rsid w:val="006558D5"/>
    <w:rsid w:val="006725A3"/>
    <w:rsid w:val="00B159C6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2020-07-15T15:52:00Z</dcterms:created>
  <dcterms:modified xsi:type="dcterms:W3CDTF">2020-07-26T07:50:00Z</dcterms:modified>
</cp:coreProperties>
</file>